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6" w:rsidRDefault="009704D6" w:rsidP="009704D6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May 25, 2014 Sunday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9704D6" w:rsidRDefault="009704D6" w:rsidP="009704D6">
      <w:pPr>
        <w:rPr>
          <w:rFonts w:ascii="Times New Roman" w:hAnsi="Times New Roman" w:cs="Times New Roman"/>
          <w:sz w:val="48"/>
          <w:szCs w:val="48"/>
        </w:rPr>
      </w:pPr>
      <w:r w:rsidRPr="009704D6">
        <w:rPr>
          <w:rFonts w:ascii="Times New Roman" w:hAnsi="Times New Roman" w:cs="Times New Roman"/>
          <w:sz w:val="48"/>
          <w:szCs w:val="48"/>
        </w:rPr>
        <w:t>Administration blocked $350,000 grant bid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Default="009704D6" w:rsidP="009704D6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9704D6" w:rsidRPr="0033053F" w:rsidRDefault="009704D6" w:rsidP="009704D6">
      <w:pPr>
        <w:rPr>
          <w:rFonts w:ascii="Georgia" w:hAnsi="Georgia"/>
        </w:rPr>
      </w:pPr>
      <w:r>
        <w:rPr>
          <w:rFonts w:ascii="Georgia" w:hAnsi="Georgia"/>
          <w:bCs/>
        </w:rPr>
        <w:t>Springfield bureau chief</w:t>
      </w: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SPRINGFIELD - </w:t>
      </w:r>
      <w:r w:rsidRPr="009704D6">
        <w:rPr>
          <w:rFonts w:ascii="Georgia" w:hAnsi="Georgia"/>
        </w:rPr>
        <w:t xml:space="preserve">Gov. </w:t>
      </w:r>
      <w:r w:rsidRPr="009704D6">
        <w:rPr>
          <w:rFonts w:ascii="Georgia" w:hAnsi="Georgia"/>
          <w:bCs/>
        </w:rPr>
        <w:t>Pat</w:t>
      </w:r>
      <w:r w:rsidRPr="009704D6">
        <w:rPr>
          <w:rFonts w:ascii="Georgia" w:hAnsi="Georgia"/>
        </w:rPr>
        <w:t xml:space="preserve"> </w:t>
      </w:r>
      <w:r w:rsidRPr="009704D6">
        <w:rPr>
          <w:rFonts w:ascii="Georgia" w:hAnsi="Georgia"/>
          <w:bCs/>
        </w:rPr>
        <w:t>Quinn's</w:t>
      </w:r>
      <w:r w:rsidRPr="009704D6">
        <w:rPr>
          <w:rFonts w:ascii="Georgia" w:hAnsi="Georgia"/>
        </w:rPr>
        <w:t xml:space="preserve"> </w:t>
      </w:r>
      <w:r w:rsidRPr="0033053F">
        <w:rPr>
          <w:rFonts w:ascii="Georgia" w:hAnsi="Georgia"/>
        </w:rPr>
        <w:t>administration put the brakes on an effort by the husband of Cook County Circuit Clerk Dorothy Brown to win a $350,000 grant late last year from a state agency Brown helps oversee.</w:t>
      </w:r>
    </w:p>
    <w:p w:rsidR="009704D6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Dr. Benton Cook III applied for grant funds from the Criminal Justice Information Authority, but his bid on behalf of a nonprofit he formed was rejected when he didn't participate in a required webinar conducted by the agency, officials told the Sun-Times.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"It shows that when proper grant controls are in place, taxpayers are best protected," said Brooke Anderson, spokeswoman for </w:t>
      </w:r>
      <w:r w:rsidRPr="009704D6">
        <w:rPr>
          <w:rFonts w:ascii="Georgia" w:hAnsi="Georgia"/>
        </w:rPr>
        <w:t xml:space="preserve">Gov. </w:t>
      </w:r>
      <w:r w:rsidRPr="009704D6">
        <w:rPr>
          <w:rFonts w:ascii="Georgia" w:hAnsi="Georgia"/>
          <w:bCs/>
        </w:rPr>
        <w:t>Pat</w:t>
      </w:r>
      <w:r w:rsidRPr="009704D6">
        <w:rPr>
          <w:rFonts w:ascii="Georgia" w:hAnsi="Georgia"/>
        </w:rPr>
        <w:t xml:space="preserve"> </w:t>
      </w:r>
      <w:r w:rsidRPr="009704D6">
        <w:rPr>
          <w:rFonts w:ascii="Georgia" w:hAnsi="Georgia"/>
          <w:bCs/>
        </w:rPr>
        <w:t>Quinn</w:t>
      </w:r>
      <w:r w:rsidRPr="009704D6">
        <w:rPr>
          <w:rFonts w:ascii="Georgia" w:hAnsi="Georgia"/>
        </w:rPr>
        <w:t xml:space="preserve">, </w:t>
      </w:r>
      <w:r w:rsidRPr="0033053F">
        <w:rPr>
          <w:rFonts w:ascii="Georgia" w:hAnsi="Georgia"/>
        </w:rPr>
        <w:t>whose administration has been shaken by state and federal investigations into the governor's 2010 Neighborhood Recovery Initiative anti-violence program.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Aiming to crack down on state grant fraud, Quinn's office is pushing legislation sponsored by Rep. Fred </w:t>
      </w:r>
      <w:proofErr w:type="spellStart"/>
      <w:r w:rsidRPr="0033053F">
        <w:rPr>
          <w:rFonts w:ascii="Georgia" w:hAnsi="Georgia"/>
        </w:rPr>
        <w:t>Crespo</w:t>
      </w:r>
      <w:proofErr w:type="spellEnd"/>
      <w:r w:rsidRPr="0033053F">
        <w:rPr>
          <w:rFonts w:ascii="Georgia" w:hAnsi="Georgia"/>
        </w:rPr>
        <w:t xml:space="preserve">, D-Hoffman </w:t>
      </w:r>
      <w:proofErr w:type="gramStart"/>
      <w:r w:rsidRPr="0033053F">
        <w:rPr>
          <w:rFonts w:ascii="Georgia" w:hAnsi="Georgia"/>
        </w:rPr>
        <w:t>Estates, that</w:t>
      </w:r>
      <w:proofErr w:type="gramEnd"/>
      <w:r w:rsidRPr="0033053F">
        <w:rPr>
          <w:rFonts w:ascii="Georgia" w:hAnsi="Georgia"/>
        </w:rPr>
        <w:t xml:space="preserve"> passed the House but appears snagged in the Senate. The legislation would use federal disclosure rules for applicants.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Through his nonprofit, Dream Catchers Community Development Corporation, Cook was seeking the state dollars for after-school programs at alternative high </w:t>
      </w:r>
      <w:proofErr w:type="gramStart"/>
      <w:r w:rsidRPr="0033053F">
        <w:rPr>
          <w:rFonts w:ascii="Georgia" w:hAnsi="Georgia"/>
        </w:rPr>
        <w:t>schools</w:t>
      </w:r>
      <w:proofErr w:type="gramEnd"/>
      <w:r w:rsidRPr="0033053F">
        <w:rPr>
          <w:rFonts w:ascii="Georgia" w:hAnsi="Georgia"/>
        </w:rPr>
        <w:t xml:space="preserve"> in Roseland and Lawndale operated, in part, by Magic Johnson Enterprises, a company owned by the former Los Angeles Lakers star.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"It was for an opportunity for our students to experience some mentoring opportunities," said Cory Gold, program director for the Magic Johnson </w:t>
      </w:r>
      <w:proofErr w:type="spellStart"/>
      <w:r w:rsidRPr="0033053F">
        <w:rPr>
          <w:rFonts w:ascii="Georgia" w:hAnsi="Georgia"/>
        </w:rPr>
        <w:t>Bridgescape</w:t>
      </w:r>
      <w:proofErr w:type="spellEnd"/>
      <w:r w:rsidRPr="0033053F">
        <w:rPr>
          <w:rFonts w:ascii="Georgia" w:hAnsi="Georgia"/>
        </w:rPr>
        <w:t xml:space="preserve"> Academy campus in Lawndale.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lastRenderedPageBreak/>
        <w:t>But the plan didn't pan out.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 xml:space="preserve">"All potential grantees were required to register to participate in an informational webinar we hosted on the proposal and grant requirements," said </w:t>
      </w:r>
      <w:proofErr w:type="spellStart"/>
      <w:r w:rsidRPr="0033053F">
        <w:rPr>
          <w:rFonts w:ascii="Georgia" w:hAnsi="Georgia"/>
        </w:rPr>
        <w:t>Cristin</w:t>
      </w:r>
      <w:proofErr w:type="spellEnd"/>
      <w:r w:rsidRPr="0033053F">
        <w:rPr>
          <w:rFonts w:ascii="Georgia" w:hAnsi="Georgia"/>
        </w:rPr>
        <w:t xml:space="preserve"> </w:t>
      </w:r>
      <w:proofErr w:type="spellStart"/>
      <w:r w:rsidRPr="0033053F">
        <w:rPr>
          <w:rFonts w:ascii="Georgia" w:hAnsi="Georgia"/>
        </w:rPr>
        <w:t>Monti</w:t>
      </w:r>
      <w:proofErr w:type="spellEnd"/>
      <w:r w:rsidRPr="0033053F">
        <w:rPr>
          <w:rFonts w:ascii="Georgia" w:hAnsi="Georgia"/>
        </w:rPr>
        <w:t xml:space="preserve"> Evans, spokeswoman for the Criminal Justice Information Authority.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"Dream Catchers didn't register for the webinar and therefore became ineligible."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Cook's wife, the circuit clerk, is a member, by statute, of the governing board of the Criminal Justice Information Authority. Brown also is chairwoman of the board's budget committee, through which all grants are disbursed.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Cook has been subpoenaed to appear before a grand jury as part of an investigation into Quinn's Neighborhood Recovery Initiative.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proofErr w:type="gramStart"/>
      <w:r w:rsidRPr="0033053F">
        <w:rPr>
          <w:rFonts w:ascii="Georgia" w:hAnsi="Georgia"/>
        </w:rPr>
        <w:t>Cook was hired by Chicago Area Project, a social service provider, to oversee more than $2 million in Neighborhood Recovery Initiative programs in West Garfield Park</w:t>
      </w:r>
      <w:proofErr w:type="gramEnd"/>
      <w:r w:rsidRPr="0033053F">
        <w:rPr>
          <w:rFonts w:ascii="Georgia" w:hAnsi="Georgia"/>
        </w:rPr>
        <w:t>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In his role as program coordinator, Cook received more than $146,000 in salary and fringe benefits over a two-year period.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One of the West Garfield Park programs that got Neighborhood Recovery Initiative money through Chicago Area Project was Dream Catchers; he is executive director and his wife was identified in state documents as "fiscal manager."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In 2012, Brown voted by proxy on the Criminal Justice Information Authority board to approve $5 million in state anti-violence grant funding for Chicago Area Project while her husband was being paid by the group with state dollars.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The more recent, $350,000 grant application Grant submitted on his own last year to the Criminal Justice Information Authority for work at the Magic Johnson Dreamscape Academy included $52,000 for his salary, state records show.</w:t>
      </w:r>
    </w:p>
    <w:p w:rsidR="009704D6" w:rsidRPr="0033053F" w:rsidRDefault="009704D6" w:rsidP="009704D6">
      <w:pPr>
        <w:rPr>
          <w:rFonts w:ascii="Georgia" w:hAnsi="Georgia"/>
        </w:rPr>
      </w:pPr>
    </w:p>
    <w:p w:rsidR="009704D6" w:rsidRPr="0033053F" w:rsidRDefault="009704D6" w:rsidP="009704D6">
      <w:pPr>
        <w:rPr>
          <w:rFonts w:ascii="Georgia" w:hAnsi="Georgia"/>
        </w:rPr>
      </w:pPr>
      <w:r w:rsidRPr="0033053F">
        <w:rPr>
          <w:rFonts w:ascii="Georgia" w:hAnsi="Georgia"/>
        </w:rPr>
        <w:t>Cook, who has not been accused of criminal wrongdoing, did not respond to a message left on his cellphone by the Sun-Times.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D6"/>
    <w:rsid w:val="00361DE1"/>
    <w:rsid w:val="0060431F"/>
    <w:rsid w:val="009704D6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Macintosh Word</Application>
  <DocSecurity>0</DocSecurity>
  <Lines>24</Lines>
  <Paragraphs>6</Paragraphs>
  <ScaleCrop>false</ScaleCrop>
  <Company>Sun-Times Media Group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2015-02-17T02:54:00Z</dcterms:created>
  <dcterms:modified xsi:type="dcterms:W3CDTF">2015-02-17T02:55:00Z</dcterms:modified>
</cp:coreProperties>
</file>